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7E084A" w:rsidTr="007E084A">
        <w:trPr>
          <w:jc w:val="center"/>
        </w:trPr>
        <w:tc>
          <w:tcPr>
            <w:tcW w:w="2265" w:type="dxa"/>
          </w:tcPr>
          <w:p w:rsidR="007E084A" w:rsidRDefault="007E084A" w:rsidP="007E084A">
            <w:r>
              <w:t xml:space="preserve">   </w:t>
            </w:r>
            <w:r>
              <w:rPr>
                <w:noProof/>
                <w:lang w:eastAsia="nl-NL"/>
              </w:rPr>
              <w:drawing>
                <wp:inline distT="0" distB="0" distL="0" distR="0" wp14:anchorId="39A64A66" wp14:editId="3B81081E">
                  <wp:extent cx="1033153" cy="364799"/>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chipe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7196" cy="380350"/>
                          </a:xfrm>
                          <a:prstGeom prst="rect">
                            <a:avLst/>
                          </a:prstGeom>
                        </pic:spPr>
                      </pic:pic>
                    </a:graphicData>
                  </a:graphic>
                </wp:inline>
              </w:drawing>
            </w:r>
          </w:p>
        </w:tc>
        <w:tc>
          <w:tcPr>
            <w:tcW w:w="2265" w:type="dxa"/>
          </w:tcPr>
          <w:p w:rsidR="007E084A" w:rsidRDefault="007E084A" w:rsidP="007E084A">
            <w:pPr>
              <w:jc w:val="center"/>
            </w:pPr>
            <w:r>
              <w:rPr>
                <w:noProof/>
                <w:lang w:eastAsia="nl-NL"/>
              </w:rPr>
              <w:drawing>
                <wp:inline distT="0" distB="0" distL="0" distR="0" wp14:anchorId="1E15B4CB" wp14:editId="41C59D99">
                  <wp:extent cx="872837" cy="369268"/>
                  <wp:effectExtent l="0" t="0" r="3810" b="0"/>
                  <wp:docPr id="2" name="Afbeelding 2" descr="https://www.tdre.nl/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dre.nl/image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8670" cy="384428"/>
                          </a:xfrm>
                          <a:prstGeom prst="rect">
                            <a:avLst/>
                          </a:prstGeom>
                          <a:noFill/>
                          <a:ln>
                            <a:noFill/>
                          </a:ln>
                        </pic:spPr>
                      </pic:pic>
                    </a:graphicData>
                  </a:graphic>
                </wp:inline>
              </w:drawing>
            </w:r>
          </w:p>
        </w:tc>
        <w:tc>
          <w:tcPr>
            <w:tcW w:w="2266" w:type="dxa"/>
          </w:tcPr>
          <w:p w:rsidR="007E084A" w:rsidRDefault="007E084A" w:rsidP="007E084A">
            <w:pPr>
              <w:jc w:val="center"/>
            </w:pPr>
            <w:r w:rsidRPr="007E084A">
              <w:rPr>
                <w:noProof/>
                <w:lang w:eastAsia="nl-NL"/>
              </w:rPr>
              <w:drawing>
                <wp:inline distT="0" distB="0" distL="0" distR="0" wp14:anchorId="4A769B16" wp14:editId="4328811F">
                  <wp:extent cx="794296" cy="36449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4442" cy="378323"/>
                          </a:xfrm>
                          <a:prstGeom prst="rect">
                            <a:avLst/>
                          </a:prstGeom>
                        </pic:spPr>
                      </pic:pic>
                    </a:graphicData>
                  </a:graphic>
                </wp:inline>
              </w:drawing>
            </w:r>
          </w:p>
        </w:tc>
        <w:tc>
          <w:tcPr>
            <w:tcW w:w="2266" w:type="dxa"/>
          </w:tcPr>
          <w:p w:rsidR="007E084A" w:rsidRDefault="007E084A" w:rsidP="007E084A">
            <w:pPr>
              <w:jc w:val="center"/>
            </w:pPr>
            <w:r w:rsidRPr="007E084A">
              <w:rPr>
                <w:noProof/>
                <w:lang w:eastAsia="nl-NL"/>
              </w:rPr>
              <w:drawing>
                <wp:inline distT="0" distB="0" distL="0" distR="0" wp14:anchorId="25B04D04" wp14:editId="77875C1B">
                  <wp:extent cx="1073402" cy="36449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29182" cy="383431"/>
                          </a:xfrm>
                          <a:prstGeom prst="rect">
                            <a:avLst/>
                          </a:prstGeom>
                        </pic:spPr>
                      </pic:pic>
                    </a:graphicData>
                  </a:graphic>
                </wp:inline>
              </w:drawing>
            </w:r>
          </w:p>
        </w:tc>
      </w:tr>
    </w:tbl>
    <w:p w:rsidR="007E084A" w:rsidRDefault="007E084A" w:rsidP="007E084A"/>
    <w:p w:rsidR="007E084A" w:rsidRPr="00E561A6" w:rsidRDefault="007E084A" w:rsidP="00E561A6">
      <w:pPr>
        <w:jc w:val="center"/>
        <w:rPr>
          <w:b/>
          <w:color w:val="7030A0"/>
          <w:sz w:val="36"/>
          <w:szCs w:val="36"/>
        </w:rPr>
      </w:pPr>
      <w:r w:rsidRPr="00E561A6">
        <w:rPr>
          <w:b/>
          <w:color w:val="7030A0"/>
          <w:sz w:val="36"/>
          <w:szCs w:val="36"/>
        </w:rPr>
        <w:t>Doseren van antistolling</w:t>
      </w:r>
      <w:r w:rsidR="00E561A6" w:rsidRPr="00E561A6">
        <w:rPr>
          <w:b/>
          <w:color w:val="7030A0"/>
          <w:sz w:val="36"/>
          <w:szCs w:val="36"/>
        </w:rPr>
        <w:t>s</w:t>
      </w:r>
      <w:r w:rsidRPr="00E561A6">
        <w:rPr>
          <w:b/>
          <w:color w:val="7030A0"/>
          <w:sz w:val="36"/>
          <w:szCs w:val="36"/>
        </w:rPr>
        <w:t>medicatie in Medimo door TDRE</w:t>
      </w:r>
    </w:p>
    <w:p w:rsidR="00E561A6" w:rsidRPr="00E561A6" w:rsidRDefault="00E561A6" w:rsidP="00F625BC">
      <w:pPr>
        <w:spacing w:after="0" w:line="276" w:lineRule="auto"/>
        <w:rPr>
          <w:b/>
          <w:color w:val="7030A0"/>
        </w:rPr>
      </w:pPr>
      <w:r w:rsidRPr="00E561A6">
        <w:rPr>
          <w:b/>
          <w:color w:val="7030A0"/>
        </w:rPr>
        <w:t>Wat gaat er veranderen?</w:t>
      </w:r>
    </w:p>
    <w:p w:rsidR="00E561A6" w:rsidRDefault="00E561A6" w:rsidP="00F625BC">
      <w:pPr>
        <w:spacing w:after="0" w:line="276" w:lineRule="auto"/>
      </w:pPr>
      <w:r>
        <w:t xml:space="preserve">Vanaf </w:t>
      </w:r>
      <w:r w:rsidR="007A0EE8" w:rsidRPr="007A0EE8">
        <w:rPr>
          <w:b/>
        </w:rPr>
        <w:t>7 december 2022</w:t>
      </w:r>
      <w:r>
        <w:t xml:space="preserve"> verzorgt TDRE de dosering van de antistollingsmedicatie in Medimo. Dat wil zeggen dat de artsen niet meer hoeven te wachten op uitslagen en dan moeten doseren.</w:t>
      </w:r>
      <w:r w:rsidR="00FF3386">
        <w:t xml:space="preserve"> Voortaan beoordeelt</w:t>
      </w:r>
      <w:r>
        <w:t xml:space="preserve"> de arts van TDRE de uitslag en schrijft de dosering voor in PortaVita. Hierna verschijnt de juiste dosering direct in Medimo. </w:t>
      </w:r>
    </w:p>
    <w:p w:rsidR="00F625BC" w:rsidRDefault="00F625BC" w:rsidP="00F625BC">
      <w:pPr>
        <w:spacing w:after="0" w:line="276" w:lineRule="auto"/>
      </w:pPr>
    </w:p>
    <w:p w:rsidR="00F625BC" w:rsidRPr="00F625BC" w:rsidRDefault="00DB124F" w:rsidP="00F625BC">
      <w:pPr>
        <w:spacing w:after="0" w:line="276" w:lineRule="auto"/>
        <w:rPr>
          <w:color w:val="7030A0"/>
        </w:rPr>
      </w:pPr>
      <w:hyperlink w:anchor="_Wat_betekent_dat" w:history="1">
        <w:r w:rsidR="00F625BC" w:rsidRPr="00F625BC">
          <w:rPr>
            <w:rStyle w:val="Hyperlink"/>
            <w:color w:val="7030A0"/>
          </w:rPr>
          <w:t>Wat betekent dat voor artsen?</w:t>
        </w:r>
      </w:hyperlink>
    </w:p>
    <w:p w:rsidR="00F625BC" w:rsidRPr="00F625BC" w:rsidRDefault="00DB124F" w:rsidP="00F625BC">
      <w:pPr>
        <w:spacing w:after="0" w:line="276" w:lineRule="auto"/>
        <w:rPr>
          <w:color w:val="7030A0"/>
        </w:rPr>
      </w:pPr>
      <w:hyperlink w:anchor="_Wat_betekent_dat_1" w:history="1">
        <w:r w:rsidR="00F625BC" w:rsidRPr="00F625BC">
          <w:rPr>
            <w:rStyle w:val="Hyperlink"/>
            <w:color w:val="7030A0"/>
          </w:rPr>
          <w:t>Wat betekent dat voor medisch secretariaat?</w:t>
        </w:r>
      </w:hyperlink>
    </w:p>
    <w:p w:rsidR="00F625BC" w:rsidRPr="00F625BC" w:rsidRDefault="00DB124F" w:rsidP="00F625BC">
      <w:pPr>
        <w:spacing w:after="0" w:line="276" w:lineRule="auto"/>
        <w:rPr>
          <w:color w:val="7030A0"/>
        </w:rPr>
      </w:pPr>
      <w:hyperlink w:anchor="_Wat_betekent_dat_2" w:history="1">
        <w:r w:rsidR="00F625BC" w:rsidRPr="00F625BC">
          <w:rPr>
            <w:rStyle w:val="Hyperlink"/>
            <w:color w:val="7030A0"/>
          </w:rPr>
          <w:t>Wat betekent dat voor V&amp;V?</w:t>
        </w:r>
      </w:hyperlink>
      <w:r w:rsidR="00F625BC" w:rsidRPr="00F625BC">
        <w:rPr>
          <w:color w:val="7030A0"/>
        </w:rPr>
        <w:t xml:space="preserve"> </w:t>
      </w:r>
    </w:p>
    <w:p w:rsidR="00F625BC" w:rsidRPr="00F625BC" w:rsidRDefault="00F625BC" w:rsidP="00F625BC">
      <w:pPr>
        <w:pStyle w:val="Kop3"/>
        <w:rPr>
          <w:b/>
          <w:color w:val="7030A0"/>
        </w:rPr>
      </w:pPr>
      <w:bookmarkStart w:id="0" w:name="_Wat_betekent_dat"/>
      <w:bookmarkEnd w:id="0"/>
    </w:p>
    <w:p w:rsidR="00F625BC" w:rsidRPr="00F625BC" w:rsidRDefault="00F625BC" w:rsidP="00F625BC">
      <w:pPr>
        <w:pStyle w:val="Kop3"/>
        <w:rPr>
          <w:b/>
          <w:color w:val="7030A0"/>
        </w:rPr>
      </w:pPr>
      <w:bookmarkStart w:id="1" w:name="_Wat_betekent_dat_2"/>
      <w:bookmarkEnd w:id="1"/>
      <w:r w:rsidRPr="00F625BC">
        <w:rPr>
          <w:b/>
          <w:color w:val="7030A0"/>
        </w:rPr>
        <w:t>Wat betekent dat voor V&amp;V?</w:t>
      </w:r>
    </w:p>
    <w:p w:rsidR="00F625BC" w:rsidRDefault="00F625BC" w:rsidP="00F625BC">
      <w:pPr>
        <w:pStyle w:val="Lijstalinea"/>
        <w:numPr>
          <w:ilvl w:val="0"/>
          <w:numId w:val="2"/>
        </w:numPr>
        <w:spacing w:after="0" w:line="276" w:lineRule="auto"/>
      </w:pPr>
      <w:r>
        <w:t xml:space="preserve">In Medimo staat voortaan voor alle cliënten de dosering van de antistolling, dus nergens meer met kaarten werken. </w:t>
      </w:r>
    </w:p>
    <w:p w:rsidR="00FF18EA" w:rsidRDefault="00FF18EA" w:rsidP="00F625BC">
      <w:pPr>
        <w:pStyle w:val="Lijstalinea"/>
        <w:numPr>
          <w:ilvl w:val="0"/>
          <w:numId w:val="2"/>
        </w:numPr>
        <w:spacing w:after="0" w:line="276" w:lineRule="auto"/>
      </w:pPr>
      <w:r>
        <w:t xml:space="preserve">De kaarten ontvangen jullie de eerste weken nog wel maar daarna gaat dit stoppen. </w:t>
      </w:r>
    </w:p>
    <w:p w:rsidR="00F625BC" w:rsidRDefault="00F625BC" w:rsidP="00F625BC">
      <w:pPr>
        <w:pStyle w:val="Lijstalinea"/>
        <w:numPr>
          <w:ilvl w:val="0"/>
          <w:numId w:val="2"/>
        </w:numPr>
        <w:spacing w:after="0" w:line="276" w:lineRule="auto"/>
      </w:pPr>
      <w:r>
        <w:t xml:space="preserve">Indien er bij een dosering niets staat of “error” dan moet je bellen naar TDRE: </w:t>
      </w:r>
      <w:r w:rsidRPr="00FC5AE3">
        <w:t>040-21 41 262</w:t>
      </w:r>
    </w:p>
    <w:p w:rsidR="00FF18EA" w:rsidRDefault="00FF18EA" w:rsidP="00FF18EA">
      <w:pPr>
        <w:pStyle w:val="Kop3"/>
        <w:rPr>
          <w:b/>
          <w:color w:val="7030A0"/>
        </w:rPr>
      </w:pPr>
    </w:p>
    <w:p w:rsidR="00FF18EA" w:rsidRPr="00F625BC" w:rsidRDefault="00FF18EA" w:rsidP="00FF18EA">
      <w:pPr>
        <w:pStyle w:val="Kop3"/>
        <w:rPr>
          <w:b/>
          <w:color w:val="7030A0"/>
        </w:rPr>
      </w:pPr>
      <w:r w:rsidRPr="00F625BC">
        <w:rPr>
          <w:b/>
          <w:color w:val="7030A0"/>
        </w:rPr>
        <w:t>Wat betekent dat voor artsen?</w:t>
      </w:r>
    </w:p>
    <w:p w:rsidR="00FF18EA" w:rsidRDefault="00FF18EA" w:rsidP="00FF18EA">
      <w:pPr>
        <w:pStyle w:val="Lijstalinea"/>
        <w:numPr>
          <w:ilvl w:val="0"/>
          <w:numId w:val="2"/>
        </w:numPr>
        <w:spacing w:after="0" w:line="276" w:lineRule="auto"/>
      </w:pPr>
      <w:r>
        <w:t xml:space="preserve">Er komen geen uitslagen meer in Ysis van de INR-waardes waarna de dosering in Medimo genoteerd moet worden. </w:t>
      </w:r>
    </w:p>
    <w:p w:rsidR="00FF18EA" w:rsidRDefault="00FF18EA" w:rsidP="00FF18EA">
      <w:pPr>
        <w:pStyle w:val="Lijstalinea"/>
        <w:numPr>
          <w:ilvl w:val="0"/>
          <w:numId w:val="2"/>
        </w:numPr>
        <w:spacing w:line="276" w:lineRule="auto"/>
      </w:pPr>
      <w:r>
        <w:t>TDRE zorgt voor afnemen bloed (door DVU) en bepaalt daarna de dosering.</w:t>
      </w:r>
    </w:p>
    <w:p w:rsidR="00FF18EA" w:rsidRDefault="00FF18EA" w:rsidP="00FF18EA">
      <w:pPr>
        <w:pStyle w:val="Lijstalinea"/>
        <w:numPr>
          <w:ilvl w:val="0"/>
          <w:numId w:val="2"/>
        </w:numPr>
        <w:spacing w:line="276" w:lineRule="auto"/>
      </w:pPr>
      <w:r>
        <w:t>TDRE belt medisch secretariaat als de waardes afwijken. Zij bellen dan de dagarts om de uitslag door te geven. De dagarts zorgt vo</w:t>
      </w:r>
      <w:r w:rsidR="00AD1617">
        <w:t>or de juiste actie (bijv. vitamine K</w:t>
      </w:r>
      <w:r>
        <w:t xml:space="preserve"> voorschrijven)</w:t>
      </w:r>
    </w:p>
    <w:p w:rsidR="00AD1617" w:rsidRDefault="00AD1617" w:rsidP="00AD1617">
      <w:pPr>
        <w:pStyle w:val="Lijstalinea"/>
        <w:numPr>
          <w:ilvl w:val="0"/>
          <w:numId w:val="2"/>
        </w:numPr>
        <w:spacing w:line="276" w:lineRule="auto"/>
      </w:pPr>
      <w:r>
        <w:t>Er is laagdrempelig intercollegiaal contact mogelijk tussen de trombosearts en de artsen van Archipel (denk bijvoorbeeld aan ernstige ziekte, uitschieters in INR, noodzaak tot vit K, problemen met prikken etc.)</w:t>
      </w:r>
    </w:p>
    <w:p w:rsidR="00FF18EA" w:rsidRDefault="00FF18EA" w:rsidP="00FF18EA">
      <w:pPr>
        <w:pStyle w:val="Lijstalinea"/>
        <w:numPr>
          <w:ilvl w:val="0"/>
          <w:numId w:val="2"/>
        </w:numPr>
        <w:spacing w:line="276" w:lineRule="auto"/>
      </w:pPr>
      <w:r>
        <w:t xml:space="preserve">Is er een (nieuwe) cliënt die start met antistolling? De artsen melden via een </w:t>
      </w:r>
      <w:bookmarkStart w:id="2" w:name="_GoBack"/>
      <w:bookmarkEnd w:id="2"/>
      <w:r>
        <w:t xml:space="preserve">aanmeldingsformulier de (nieuwe) cliënt aan </w:t>
      </w:r>
      <w:hyperlink r:id="rId11" w:history="1">
        <w:r w:rsidRPr="005149AF">
          <w:rPr>
            <w:rStyle w:val="Hyperlink"/>
          </w:rPr>
          <w:t>https://www.tdre.nl/data/uploads/Aanmeldformulier_Trombosedienst_versie_28.pdf</w:t>
        </w:r>
      </w:hyperlink>
    </w:p>
    <w:p w:rsidR="00FF18EA" w:rsidRDefault="00FF18EA" w:rsidP="00FF18EA">
      <w:pPr>
        <w:pStyle w:val="Lijstalinea"/>
        <w:numPr>
          <w:ilvl w:val="0"/>
          <w:numId w:val="2"/>
        </w:numPr>
        <w:spacing w:line="276" w:lineRule="auto"/>
      </w:pPr>
      <w:r>
        <w:t xml:space="preserve">Is de nieuwe cliënt al bekend bij TDRE? In eerste instantie voert de arts de dosering van de kaart van de cliënt in Medimo in. De arts maakt een bericht in Ysis voor Medisch secretariaat; z.s.m. het nieuwe adres (locatie) doorgeven aan TDRE. Zij dragen zorg voor het prikken en de juiste dosering daarna.  </w:t>
      </w:r>
    </w:p>
    <w:p w:rsidR="00FF18EA" w:rsidRDefault="00FF18EA" w:rsidP="00FF18EA">
      <w:pPr>
        <w:pStyle w:val="Lijstalinea"/>
        <w:numPr>
          <w:ilvl w:val="0"/>
          <w:numId w:val="2"/>
        </w:numPr>
        <w:spacing w:line="276" w:lineRule="auto"/>
      </w:pPr>
      <w:r>
        <w:t xml:space="preserve">Wordt de cliënt ontslagen? De arts maakt een bericht in Ysis voor Medisch secretariaat en zij geven nieuw adres door aan TDRE. Zij zorgen dat de cliënt bij de dichtstbijzijnde trombosedienst aangemeld wordt en de gegevens overgedragen. </w:t>
      </w:r>
    </w:p>
    <w:p w:rsidR="00FF18EA" w:rsidRDefault="00FF18EA" w:rsidP="00FF18EA">
      <w:pPr>
        <w:pStyle w:val="Lijstalinea"/>
        <w:numPr>
          <w:ilvl w:val="0"/>
          <w:numId w:val="2"/>
        </w:numPr>
        <w:spacing w:line="276" w:lineRule="auto"/>
      </w:pPr>
      <w:r>
        <w:t xml:space="preserve">Indien client is overleden dan afmelden via </w:t>
      </w:r>
      <w:hyperlink r:id="rId12" w:history="1">
        <w:r w:rsidRPr="005149AF">
          <w:rPr>
            <w:rStyle w:val="Hyperlink"/>
          </w:rPr>
          <w:t>https://www.tdre.nl/data/uploads/Aanmeldformulier_Trombosedienst_versie_28.pdf</w:t>
        </w:r>
      </w:hyperlink>
    </w:p>
    <w:p w:rsidR="00FF18EA" w:rsidRDefault="00FF18EA" w:rsidP="00FF18EA">
      <w:pPr>
        <w:pStyle w:val="Lijstalinea"/>
        <w:numPr>
          <w:ilvl w:val="0"/>
          <w:numId w:val="2"/>
        </w:numPr>
        <w:spacing w:line="276" w:lineRule="auto"/>
      </w:pPr>
      <w:r>
        <w:t>Dosering van een arts in Medimo heeft geen nut, wordt automatisch overschreven door invoer van TDRE.</w:t>
      </w:r>
    </w:p>
    <w:p w:rsidR="00FF18EA" w:rsidRDefault="00FF18EA" w:rsidP="00FF18EA">
      <w:pPr>
        <w:pStyle w:val="Lijstalinea"/>
        <w:numPr>
          <w:ilvl w:val="0"/>
          <w:numId w:val="2"/>
        </w:numPr>
        <w:spacing w:line="276" w:lineRule="auto"/>
      </w:pPr>
      <w:r>
        <w:lastRenderedPageBreak/>
        <w:t xml:space="preserve">TDRE baseert op de dosering op: </w:t>
      </w:r>
      <w:hyperlink r:id="rId13" w:history="1">
        <w:r w:rsidRPr="005149AF">
          <w:rPr>
            <w:rStyle w:val="Hyperlink"/>
          </w:rPr>
          <w:t>https://www.fnt.nl/kwaliteit/de-kunst-van-het-doseren</w:t>
        </w:r>
      </w:hyperlink>
    </w:p>
    <w:p w:rsidR="00FF18EA" w:rsidRDefault="00FF18EA" w:rsidP="00FF18EA">
      <w:pPr>
        <w:pStyle w:val="Lijstalinea"/>
        <w:numPr>
          <w:ilvl w:val="0"/>
          <w:numId w:val="2"/>
        </w:numPr>
        <w:spacing w:line="276" w:lineRule="auto"/>
      </w:pPr>
      <w:r>
        <w:t xml:space="preserve">Bij coronavaccinaties geeft Medisch secretariaat de vaccinatiedatum door van betreffende </w:t>
      </w:r>
      <w:r w:rsidR="004F011A">
        <w:t>c</w:t>
      </w:r>
      <w:r>
        <w:t>liënten en TDRE zorgt voor juiste actie (wel/niet opnieuw bepalen volgens RIVM-regels).</w:t>
      </w:r>
    </w:p>
    <w:p w:rsidR="00FF18EA" w:rsidRPr="007A0EE8" w:rsidRDefault="00FF18EA" w:rsidP="00FF18EA">
      <w:pPr>
        <w:pStyle w:val="Lijstalinea"/>
        <w:numPr>
          <w:ilvl w:val="0"/>
          <w:numId w:val="2"/>
        </w:numPr>
        <w:spacing w:after="240" w:line="276" w:lineRule="auto"/>
      </w:pPr>
      <w:r>
        <w:t xml:space="preserve">Wil je de </w:t>
      </w:r>
      <w:r w:rsidR="004F011A">
        <w:t>INR-waarde</w:t>
      </w:r>
      <w:r>
        <w:t xml:space="preserve"> weten? </w:t>
      </w:r>
      <w:r w:rsidRPr="007A0EE8">
        <w:t>De waardes zullen worden doorgezet via een MEDLAB bericht.</w:t>
      </w:r>
      <w:r w:rsidRPr="007A0EE8">
        <w:br/>
        <w:t>Via "Beheer -&gt; Logs -&gt; Log trombosedienst" kan je zien dat er vanuit de trombosedienst nieuwe waardes zijn doorgezet.</w:t>
      </w:r>
      <w:r w:rsidRPr="007A0EE8">
        <w:br/>
        <w:t>Deze waarde (INR) is te zien bij de cliënt door deze aan te halen via "Status".</w:t>
      </w:r>
      <w:r>
        <w:t xml:space="preserve">  </w:t>
      </w:r>
      <w:r w:rsidRPr="007A0EE8">
        <w:t>Hier kan je inzien wat de doorgezette waardes zijn, zoals de INR.</w:t>
      </w:r>
      <w:r w:rsidRPr="007A0EE8">
        <w:br/>
      </w:r>
      <w:r w:rsidRPr="007A0EE8">
        <w:rPr>
          <w:noProof/>
          <w:lang w:eastAsia="nl-NL"/>
        </w:rPr>
        <w:drawing>
          <wp:inline distT="0" distB="0" distL="0" distR="0" wp14:anchorId="02C2CC76" wp14:editId="062A834B">
            <wp:extent cx="3057525" cy="542925"/>
            <wp:effectExtent l="0" t="0" r="9525" b="9525"/>
            <wp:docPr id="3" name="Afbeelding 3" descr="cid:0.28873881230.3646516796074309160.184c37d41fb__inline__img__s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28873881230.3646516796074309160.184c37d41fb__inline__img__src"/>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57525" cy="542925"/>
                    </a:xfrm>
                    <a:prstGeom prst="rect">
                      <a:avLst/>
                    </a:prstGeom>
                    <a:noFill/>
                    <a:ln>
                      <a:noFill/>
                    </a:ln>
                  </pic:spPr>
                </pic:pic>
              </a:graphicData>
            </a:graphic>
          </wp:inline>
        </w:drawing>
      </w:r>
    </w:p>
    <w:p w:rsidR="00FF18EA" w:rsidRPr="00F625BC" w:rsidRDefault="00FF18EA" w:rsidP="00FF18EA">
      <w:pPr>
        <w:pStyle w:val="Kop3"/>
        <w:rPr>
          <w:b/>
          <w:color w:val="7030A0"/>
        </w:rPr>
      </w:pPr>
      <w:bookmarkStart w:id="3" w:name="_Wat_betekent_dat_1"/>
      <w:bookmarkEnd w:id="3"/>
      <w:r w:rsidRPr="00F625BC">
        <w:rPr>
          <w:b/>
          <w:color w:val="7030A0"/>
        </w:rPr>
        <w:t>Wat betekent dat voor het Medisch Secretariaat?</w:t>
      </w:r>
    </w:p>
    <w:p w:rsidR="00FF18EA" w:rsidRDefault="00FF18EA" w:rsidP="00FF18EA">
      <w:pPr>
        <w:pStyle w:val="Lijstalinea"/>
        <w:numPr>
          <w:ilvl w:val="0"/>
          <w:numId w:val="2"/>
        </w:numPr>
        <w:spacing w:after="0" w:line="276" w:lineRule="auto"/>
      </w:pPr>
      <w:r>
        <w:t>Geen INR-waardes meer bij DVU-aanvragen</w:t>
      </w:r>
    </w:p>
    <w:p w:rsidR="004F011A" w:rsidRDefault="004F011A" w:rsidP="00FF18EA">
      <w:pPr>
        <w:pStyle w:val="Lijstalinea"/>
        <w:numPr>
          <w:ilvl w:val="0"/>
          <w:numId w:val="2"/>
        </w:numPr>
        <w:spacing w:after="0" w:line="276" w:lineRule="auto"/>
      </w:pPr>
      <w:r>
        <w:t>Hoeven geen planning meer te maken voor het prikken van de INR</w:t>
      </w:r>
    </w:p>
    <w:p w:rsidR="00FF18EA" w:rsidRDefault="00FF18EA" w:rsidP="00FF18EA">
      <w:pPr>
        <w:pStyle w:val="Lijstalinea"/>
        <w:numPr>
          <w:ilvl w:val="0"/>
          <w:numId w:val="2"/>
        </w:numPr>
        <w:spacing w:after="0" w:line="276" w:lineRule="auto"/>
      </w:pPr>
      <w:r>
        <w:t>TDRE belt jullie als de waardes afwijken. Jullie bellen dan de dagarts om de uitslag door te geven. De dagarts zorgt voor de juiste actie (bijv. Kalium voorschrijven)</w:t>
      </w:r>
    </w:p>
    <w:p w:rsidR="00FF18EA" w:rsidRDefault="00FF18EA" w:rsidP="00FF18EA">
      <w:pPr>
        <w:pStyle w:val="Lijstalinea"/>
        <w:numPr>
          <w:ilvl w:val="0"/>
          <w:numId w:val="2"/>
        </w:numPr>
        <w:spacing w:after="0" w:line="276" w:lineRule="auto"/>
      </w:pPr>
      <w:r>
        <w:t xml:space="preserve">De artsen melden via een Aanmeldingsformulier de nieuwe client aan (in de toekomst kan dit digitaal) </w:t>
      </w:r>
    </w:p>
    <w:p w:rsidR="00FF18EA" w:rsidRDefault="00FF18EA" w:rsidP="00FF18EA">
      <w:pPr>
        <w:pStyle w:val="Lijstalinea"/>
        <w:numPr>
          <w:ilvl w:val="0"/>
          <w:numId w:val="2"/>
        </w:numPr>
        <w:spacing w:line="276" w:lineRule="auto"/>
      </w:pPr>
      <w:r>
        <w:t>Indien client verhuisd dan nieuw adres doorgeven aan TDRE (arts stuurt bericht via Ysis)</w:t>
      </w:r>
    </w:p>
    <w:p w:rsidR="00FF18EA" w:rsidRDefault="00FF18EA" w:rsidP="00FF18EA">
      <w:pPr>
        <w:pStyle w:val="Lijstalinea"/>
        <w:numPr>
          <w:ilvl w:val="0"/>
          <w:numId w:val="2"/>
        </w:numPr>
        <w:spacing w:line="276" w:lineRule="auto"/>
      </w:pPr>
      <w:r>
        <w:t xml:space="preserve">Indien client is overleden dan afmelden via </w:t>
      </w:r>
      <w:hyperlink r:id="rId16" w:history="1">
        <w:r w:rsidRPr="005149AF">
          <w:rPr>
            <w:rStyle w:val="Hyperlink"/>
          </w:rPr>
          <w:t>https://www.tdre.nl/data/uploads/Aanmeldformulier_Trombosedienst_versie_28.pdf</w:t>
        </w:r>
      </w:hyperlink>
    </w:p>
    <w:p w:rsidR="00FF18EA" w:rsidRDefault="00FF18EA" w:rsidP="00FF18EA">
      <w:pPr>
        <w:spacing w:after="0" w:line="276" w:lineRule="auto"/>
      </w:pPr>
    </w:p>
    <w:p w:rsidR="00F625BC" w:rsidRDefault="00F625BC" w:rsidP="00F625BC"/>
    <w:p w:rsidR="00B61CC2" w:rsidRDefault="00DB124F"/>
    <w:sectPr w:rsidR="00B61CC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5BC" w:rsidRDefault="00F625BC" w:rsidP="00F625BC">
      <w:pPr>
        <w:spacing w:after="0" w:line="240" w:lineRule="auto"/>
      </w:pPr>
      <w:r>
        <w:separator/>
      </w:r>
    </w:p>
  </w:endnote>
  <w:endnote w:type="continuationSeparator" w:id="0">
    <w:p w:rsidR="00F625BC" w:rsidRDefault="00F625BC" w:rsidP="00F6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2A0" w:rsidRDefault="004F011A" w:rsidP="00AD1617">
    <w:pPr>
      <w:pStyle w:val="Voettekst"/>
      <w:pBdr>
        <w:top w:val="single" w:sz="4" w:space="1" w:color="auto"/>
      </w:pBdr>
    </w:pPr>
    <w:fldSimple w:instr=" DATE   \* MERGEFORMAT ">
      <w:r w:rsidR="00AD1617">
        <w:rPr>
          <w:noProof/>
        </w:rPr>
        <w:t>01-12-2022</w:t>
      </w:r>
    </w:fldSimple>
    <w:r w:rsidR="00D74AE4">
      <w:rPr>
        <w:noProof/>
      </w:rPr>
      <w:t xml:space="preserve"> / Projectbureau Dienst Behandeling</w:t>
    </w:r>
    <w:r w:rsidR="00DB124F">
      <w:rPr>
        <w:noProof/>
      </w:rPr>
      <w:t>_V2</w:t>
    </w:r>
    <w:r w:rsidR="00AD1617">
      <w:rPr>
        <w:noProof/>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5BC" w:rsidRDefault="00F625BC" w:rsidP="00F625BC">
      <w:pPr>
        <w:spacing w:after="0" w:line="240" w:lineRule="auto"/>
      </w:pPr>
      <w:r>
        <w:separator/>
      </w:r>
    </w:p>
  </w:footnote>
  <w:footnote w:type="continuationSeparator" w:id="0">
    <w:p w:rsidR="00F625BC" w:rsidRDefault="00F625BC" w:rsidP="00F62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404D"/>
    <w:multiLevelType w:val="hybridMultilevel"/>
    <w:tmpl w:val="303E3376"/>
    <w:lvl w:ilvl="0" w:tplc="B7E2C9E6">
      <w:start w:val="1"/>
      <w:numFmt w:val="bullet"/>
      <w:lvlText w:val="-"/>
      <w:lvlJc w:val="left"/>
      <w:pPr>
        <w:tabs>
          <w:tab w:val="num" w:pos="720"/>
        </w:tabs>
        <w:ind w:left="720" w:hanging="360"/>
      </w:pPr>
      <w:rPr>
        <w:rFonts w:ascii="Times New Roman" w:hAnsi="Times New Roman" w:hint="default"/>
      </w:rPr>
    </w:lvl>
    <w:lvl w:ilvl="1" w:tplc="0C7C5C06" w:tentative="1">
      <w:start w:val="1"/>
      <w:numFmt w:val="bullet"/>
      <w:lvlText w:val="-"/>
      <w:lvlJc w:val="left"/>
      <w:pPr>
        <w:tabs>
          <w:tab w:val="num" w:pos="1440"/>
        </w:tabs>
        <w:ind w:left="1440" w:hanging="360"/>
      </w:pPr>
      <w:rPr>
        <w:rFonts w:ascii="Times New Roman" w:hAnsi="Times New Roman" w:hint="default"/>
      </w:rPr>
    </w:lvl>
    <w:lvl w:ilvl="2" w:tplc="D926308A" w:tentative="1">
      <w:start w:val="1"/>
      <w:numFmt w:val="bullet"/>
      <w:lvlText w:val="-"/>
      <w:lvlJc w:val="left"/>
      <w:pPr>
        <w:tabs>
          <w:tab w:val="num" w:pos="2160"/>
        </w:tabs>
        <w:ind w:left="2160" w:hanging="360"/>
      </w:pPr>
      <w:rPr>
        <w:rFonts w:ascii="Times New Roman" w:hAnsi="Times New Roman" w:hint="default"/>
      </w:rPr>
    </w:lvl>
    <w:lvl w:ilvl="3" w:tplc="A950F77A" w:tentative="1">
      <w:start w:val="1"/>
      <w:numFmt w:val="bullet"/>
      <w:lvlText w:val="-"/>
      <w:lvlJc w:val="left"/>
      <w:pPr>
        <w:tabs>
          <w:tab w:val="num" w:pos="2880"/>
        </w:tabs>
        <w:ind w:left="2880" w:hanging="360"/>
      </w:pPr>
      <w:rPr>
        <w:rFonts w:ascii="Times New Roman" w:hAnsi="Times New Roman" w:hint="default"/>
      </w:rPr>
    </w:lvl>
    <w:lvl w:ilvl="4" w:tplc="C99E5028" w:tentative="1">
      <w:start w:val="1"/>
      <w:numFmt w:val="bullet"/>
      <w:lvlText w:val="-"/>
      <w:lvlJc w:val="left"/>
      <w:pPr>
        <w:tabs>
          <w:tab w:val="num" w:pos="3600"/>
        </w:tabs>
        <w:ind w:left="3600" w:hanging="360"/>
      </w:pPr>
      <w:rPr>
        <w:rFonts w:ascii="Times New Roman" w:hAnsi="Times New Roman" w:hint="default"/>
      </w:rPr>
    </w:lvl>
    <w:lvl w:ilvl="5" w:tplc="84BE0FA8" w:tentative="1">
      <w:start w:val="1"/>
      <w:numFmt w:val="bullet"/>
      <w:lvlText w:val="-"/>
      <w:lvlJc w:val="left"/>
      <w:pPr>
        <w:tabs>
          <w:tab w:val="num" w:pos="4320"/>
        </w:tabs>
        <w:ind w:left="4320" w:hanging="360"/>
      </w:pPr>
      <w:rPr>
        <w:rFonts w:ascii="Times New Roman" w:hAnsi="Times New Roman" w:hint="default"/>
      </w:rPr>
    </w:lvl>
    <w:lvl w:ilvl="6" w:tplc="250EFE5C" w:tentative="1">
      <w:start w:val="1"/>
      <w:numFmt w:val="bullet"/>
      <w:lvlText w:val="-"/>
      <w:lvlJc w:val="left"/>
      <w:pPr>
        <w:tabs>
          <w:tab w:val="num" w:pos="5040"/>
        </w:tabs>
        <w:ind w:left="5040" w:hanging="360"/>
      </w:pPr>
      <w:rPr>
        <w:rFonts w:ascii="Times New Roman" w:hAnsi="Times New Roman" w:hint="default"/>
      </w:rPr>
    </w:lvl>
    <w:lvl w:ilvl="7" w:tplc="ABE62036" w:tentative="1">
      <w:start w:val="1"/>
      <w:numFmt w:val="bullet"/>
      <w:lvlText w:val="-"/>
      <w:lvlJc w:val="left"/>
      <w:pPr>
        <w:tabs>
          <w:tab w:val="num" w:pos="5760"/>
        </w:tabs>
        <w:ind w:left="5760" w:hanging="360"/>
      </w:pPr>
      <w:rPr>
        <w:rFonts w:ascii="Times New Roman" w:hAnsi="Times New Roman" w:hint="default"/>
      </w:rPr>
    </w:lvl>
    <w:lvl w:ilvl="8" w:tplc="FA6A754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5DF2E2C"/>
    <w:multiLevelType w:val="hybridMultilevel"/>
    <w:tmpl w:val="C29C7C9C"/>
    <w:lvl w:ilvl="0" w:tplc="899E077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4A"/>
    <w:rsid w:val="00110D1E"/>
    <w:rsid w:val="00147CA6"/>
    <w:rsid w:val="004A42F0"/>
    <w:rsid w:val="004F011A"/>
    <w:rsid w:val="007A0EE8"/>
    <w:rsid w:val="007E084A"/>
    <w:rsid w:val="00A5366D"/>
    <w:rsid w:val="00A76E66"/>
    <w:rsid w:val="00AD1617"/>
    <w:rsid w:val="00C922A0"/>
    <w:rsid w:val="00D74AE4"/>
    <w:rsid w:val="00DB124F"/>
    <w:rsid w:val="00E561A6"/>
    <w:rsid w:val="00EA04FC"/>
    <w:rsid w:val="00F625BC"/>
    <w:rsid w:val="00FF18EA"/>
    <w:rsid w:val="00FF33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2BE0D3"/>
  <w15:chartTrackingRefBased/>
  <w15:docId w15:val="{091E6AEF-8650-482F-A135-EAAF2E4A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F625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625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E0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561A6"/>
    <w:pPr>
      <w:ind w:left="720"/>
      <w:contextualSpacing/>
    </w:pPr>
  </w:style>
  <w:style w:type="character" w:styleId="Hyperlink">
    <w:name w:val="Hyperlink"/>
    <w:basedOn w:val="Standaardalinea-lettertype"/>
    <w:uiPriority w:val="99"/>
    <w:unhideWhenUsed/>
    <w:rsid w:val="00E561A6"/>
    <w:rPr>
      <w:color w:val="0563C1" w:themeColor="hyperlink"/>
      <w:u w:val="single"/>
    </w:rPr>
  </w:style>
  <w:style w:type="character" w:customStyle="1" w:styleId="react-editor-token">
    <w:name w:val="react-editor-token"/>
    <w:basedOn w:val="Standaardalinea-lettertype"/>
    <w:rsid w:val="00FF3386"/>
  </w:style>
  <w:style w:type="character" w:customStyle="1" w:styleId="Kop2Char">
    <w:name w:val="Kop 2 Char"/>
    <w:basedOn w:val="Standaardalinea-lettertype"/>
    <w:link w:val="Kop2"/>
    <w:uiPriority w:val="9"/>
    <w:rsid w:val="00F625BC"/>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F625BC"/>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F625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25BC"/>
  </w:style>
  <w:style w:type="paragraph" w:styleId="Voettekst">
    <w:name w:val="footer"/>
    <w:basedOn w:val="Standaard"/>
    <w:link w:val="VoettekstChar"/>
    <w:uiPriority w:val="99"/>
    <w:unhideWhenUsed/>
    <w:rsid w:val="00F625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25BC"/>
  </w:style>
  <w:style w:type="character" w:styleId="GevolgdeHyperlink">
    <w:name w:val="FollowedHyperlink"/>
    <w:basedOn w:val="Standaardalinea-lettertype"/>
    <w:uiPriority w:val="99"/>
    <w:semiHidden/>
    <w:unhideWhenUsed/>
    <w:rsid w:val="00FF18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3273">
      <w:bodyDiv w:val="1"/>
      <w:marLeft w:val="0"/>
      <w:marRight w:val="0"/>
      <w:marTop w:val="0"/>
      <w:marBottom w:val="0"/>
      <w:divBdr>
        <w:top w:val="none" w:sz="0" w:space="0" w:color="auto"/>
        <w:left w:val="none" w:sz="0" w:space="0" w:color="auto"/>
        <w:bottom w:val="none" w:sz="0" w:space="0" w:color="auto"/>
        <w:right w:val="none" w:sz="0" w:space="0" w:color="auto"/>
      </w:divBdr>
      <w:divsChild>
        <w:div w:id="40134934">
          <w:marLeft w:val="446"/>
          <w:marRight w:val="0"/>
          <w:marTop w:val="0"/>
          <w:marBottom w:val="0"/>
          <w:divBdr>
            <w:top w:val="none" w:sz="0" w:space="0" w:color="auto"/>
            <w:left w:val="none" w:sz="0" w:space="0" w:color="auto"/>
            <w:bottom w:val="none" w:sz="0" w:space="0" w:color="auto"/>
            <w:right w:val="none" w:sz="0" w:space="0" w:color="auto"/>
          </w:divBdr>
        </w:div>
        <w:div w:id="1535119960">
          <w:marLeft w:val="446"/>
          <w:marRight w:val="0"/>
          <w:marTop w:val="0"/>
          <w:marBottom w:val="0"/>
          <w:divBdr>
            <w:top w:val="none" w:sz="0" w:space="0" w:color="auto"/>
            <w:left w:val="none" w:sz="0" w:space="0" w:color="auto"/>
            <w:bottom w:val="none" w:sz="0" w:space="0" w:color="auto"/>
            <w:right w:val="none" w:sz="0" w:space="0" w:color="auto"/>
          </w:divBdr>
        </w:div>
        <w:div w:id="781538407">
          <w:marLeft w:val="446"/>
          <w:marRight w:val="0"/>
          <w:marTop w:val="0"/>
          <w:marBottom w:val="0"/>
          <w:divBdr>
            <w:top w:val="none" w:sz="0" w:space="0" w:color="auto"/>
            <w:left w:val="none" w:sz="0" w:space="0" w:color="auto"/>
            <w:bottom w:val="none" w:sz="0" w:space="0" w:color="auto"/>
            <w:right w:val="none" w:sz="0" w:space="0" w:color="auto"/>
          </w:divBdr>
        </w:div>
      </w:divsChild>
    </w:div>
    <w:div w:id="718432887">
      <w:bodyDiv w:val="1"/>
      <w:marLeft w:val="0"/>
      <w:marRight w:val="0"/>
      <w:marTop w:val="0"/>
      <w:marBottom w:val="0"/>
      <w:divBdr>
        <w:top w:val="none" w:sz="0" w:space="0" w:color="auto"/>
        <w:left w:val="none" w:sz="0" w:space="0" w:color="auto"/>
        <w:bottom w:val="none" w:sz="0" w:space="0" w:color="auto"/>
        <w:right w:val="none" w:sz="0" w:space="0" w:color="auto"/>
      </w:divBdr>
    </w:div>
    <w:div w:id="725953842">
      <w:bodyDiv w:val="1"/>
      <w:marLeft w:val="0"/>
      <w:marRight w:val="0"/>
      <w:marTop w:val="0"/>
      <w:marBottom w:val="0"/>
      <w:divBdr>
        <w:top w:val="none" w:sz="0" w:space="0" w:color="auto"/>
        <w:left w:val="none" w:sz="0" w:space="0" w:color="auto"/>
        <w:bottom w:val="none" w:sz="0" w:space="0" w:color="auto"/>
        <w:right w:val="none" w:sz="0" w:space="0" w:color="auto"/>
      </w:divBdr>
    </w:div>
    <w:div w:id="119965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nt.nl/kwaliteit/de-kunst-van-het-doser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dre.nl/data/uploads/Aanmeldformulier_Trombosedienst_versie_28.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dre.nl/data/uploads/Aanmeldformulier_Trombosedienst_versie_2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dre.nl/data/uploads/Aanmeldformulier_Trombosedienst_versie_28.pdf" TargetMode="External"/><Relationship Id="rId5" Type="http://schemas.openxmlformats.org/officeDocument/2006/relationships/footnotes" Target="footnotes.xml"/><Relationship Id="rId15" Type="http://schemas.openxmlformats.org/officeDocument/2006/relationships/image" Target="cid:0.28873881230.3646516796074309160.184c37d41fb__inline__img__src"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3505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DXC</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Hendrix</dc:creator>
  <cp:keywords/>
  <dc:description/>
  <cp:lastModifiedBy>Marielle Smets</cp:lastModifiedBy>
  <cp:revision>3</cp:revision>
  <dcterms:created xsi:type="dcterms:W3CDTF">2022-12-01T11:51:00Z</dcterms:created>
  <dcterms:modified xsi:type="dcterms:W3CDTF">2022-12-01T11:53:00Z</dcterms:modified>
</cp:coreProperties>
</file>